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72" w:rsidRDefault="00915672" w:rsidP="00915672">
      <w:pPr>
        <w:pStyle w:val="Nadpis2"/>
        <w:jc w:val="center"/>
        <w:rPr>
          <w:rFonts w:ascii="Georgia" w:hAnsi="Georgia" w:cstheme="minorHAnsi"/>
          <w:color w:val="003399"/>
          <w:sz w:val="24"/>
          <w:szCs w:val="24"/>
        </w:rPr>
      </w:pPr>
      <w:bookmarkStart w:id="0" w:name="_GoBack"/>
      <w:bookmarkEnd w:id="0"/>
      <w:r w:rsidRPr="00EF0717">
        <w:rPr>
          <w:rFonts w:ascii="Georgia" w:hAnsi="Georgia" w:cstheme="minorHAnsi"/>
          <w:color w:val="003399"/>
          <w:sz w:val="24"/>
          <w:szCs w:val="24"/>
        </w:rPr>
        <w:t>P0</w:t>
      </w:r>
      <w:r>
        <w:rPr>
          <w:rFonts w:ascii="Georgia" w:hAnsi="Georgia" w:cstheme="minorHAnsi"/>
          <w:color w:val="003399"/>
          <w:sz w:val="24"/>
          <w:szCs w:val="24"/>
        </w:rPr>
        <w:t>2</w:t>
      </w:r>
      <w:r w:rsidRPr="00EF0717">
        <w:rPr>
          <w:rFonts w:ascii="Georgia" w:hAnsi="Georgia" w:cstheme="minorHAnsi"/>
          <w:color w:val="003399"/>
          <w:sz w:val="24"/>
          <w:szCs w:val="24"/>
        </w:rPr>
        <w:t xml:space="preserve"> – </w:t>
      </w:r>
      <w:r>
        <w:rPr>
          <w:rFonts w:ascii="Georgia" w:hAnsi="Georgia" w:cstheme="minorHAnsi"/>
          <w:color w:val="003399"/>
          <w:sz w:val="24"/>
          <w:szCs w:val="24"/>
        </w:rPr>
        <w:t xml:space="preserve">Komunikace Mgr. Langové ve věci </w:t>
      </w:r>
      <w:proofErr w:type="spellStart"/>
      <w:r>
        <w:rPr>
          <w:rFonts w:ascii="Georgia" w:hAnsi="Georgia" w:cstheme="minorHAnsi"/>
          <w:color w:val="003399"/>
          <w:sz w:val="24"/>
          <w:szCs w:val="24"/>
        </w:rPr>
        <w:t>whistleblowingu</w:t>
      </w:r>
      <w:proofErr w:type="spellEnd"/>
    </w:p>
    <w:p w:rsidR="00915672" w:rsidRPr="00915672" w:rsidRDefault="00915672" w:rsidP="00915672"/>
    <w:p w:rsidR="00915672" w:rsidRPr="00717C85" w:rsidRDefault="00915672" w:rsidP="00915672">
      <w:pPr>
        <w:jc w:val="both"/>
        <w:rPr>
          <w:rFonts w:cstheme="minorHAnsi"/>
          <w:color w:val="7030A0"/>
        </w:rPr>
      </w:pPr>
      <w:r w:rsidRPr="00717C85">
        <w:rPr>
          <w:rFonts w:cstheme="minorHAnsi"/>
          <w:color w:val="7030A0"/>
        </w:rPr>
        <w:t xml:space="preserve">Email ze dne </w:t>
      </w:r>
      <w:proofErr w:type="gramStart"/>
      <w:r w:rsidRPr="00717C85">
        <w:rPr>
          <w:rFonts w:cstheme="minorHAnsi"/>
          <w:color w:val="7030A0"/>
        </w:rPr>
        <w:t>14.10.2020</w:t>
      </w:r>
      <w:proofErr w:type="gramEnd"/>
      <w:r w:rsidRPr="00717C85">
        <w:rPr>
          <w:rFonts w:cstheme="minorHAnsi"/>
          <w:color w:val="7030A0"/>
        </w:rPr>
        <w:t xml:space="preserve"> od Mgr. Jitky Langové prorektorovi Lachovi: </w:t>
      </w:r>
    </w:p>
    <w:p w:rsidR="00915672" w:rsidRPr="00717C85" w:rsidRDefault="00915672" w:rsidP="00915672">
      <w:pPr>
        <w:pStyle w:val="Textkomente"/>
        <w:rPr>
          <w:rFonts w:cstheme="minorHAnsi"/>
          <w:sz w:val="22"/>
          <w:szCs w:val="22"/>
        </w:rPr>
      </w:pPr>
      <w:r w:rsidRPr="00717C85">
        <w:rPr>
          <w:rFonts w:cstheme="minorHAnsi"/>
          <w:sz w:val="22"/>
          <w:szCs w:val="22"/>
        </w:rPr>
        <w:t>J. Langová oslovila již dříve pana prorektora, přikládám:</w:t>
      </w:r>
    </w:p>
    <w:p w:rsidR="00915672" w:rsidRPr="00717C85" w:rsidRDefault="00915672" w:rsidP="0091567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</w:rPr>
        <w:t>Vážený pane prorektore,</w:t>
      </w:r>
    </w:p>
    <w:p w:rsidR="00915672" w:rsidRPr="00717C85" w:rsidRDefault="00915672" w:rsidP="0091567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</w:rPr>
        <w:t> </w:t>
      </w:r>
    </w:p>
    <w:p w:rsidR="00915672" w:rsidRPr="00717C85" w:rsidRDefault="00915672" w:rsidP="0091567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</w:rPr>
        <w:t>dovoluji si Vás touto cestou upozornit na Směrnici Evropského parlamentu a Rady (EU) 2019/1937 ze dne 23. října 2019, o ochraně osob, které oznamují porušení práva Unie (dále jen „směrnice“).</w:t>
      </w:r>
    </w:p>
    <w:p w:rsidR="00915672" w:rsidRPr="00717C85" w:rsidRDefault="00915672" w:rsidP="0091567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</w:rPr>
        <w:t>Tato směrnice tedy ve vymezených oblastech upravuje tzv. „</w:t>
      </w:r>
      <w:proofErr w:type="spellStart"/>
      <w:r w:rsidRPr="00717C85">
        <w:rPr>
          <w:rFonts w:asciiTheme="minorHAnsi" w:hAnsiTheme="minorHAnsi" w:cstheme="minorHAnsi"/>
          <w:color w:val="201F1E"/>
          <w:sz w:val="22"/>
          <w:szCs w:val="22"/>
        </w:rPr>
        <w:t>whistleblowing</w:t>
      </w:r>
      <w:proofErr w:type="spellEnd"/>
      <w:r w:rsidRPr="00717C85">
        <w:rPr>
          <w:rFonts w:asciiTheme="minorHAnsi" w:hAnsiTheme="minorHAnsi" w:cstheme="minorHAnsi"/>
          <w:color w:val="201F1E"/>
          <w:sz w:val="22"/>
          <w:szCs w:val="22"/>
        </w:rPr>
        <w:t>“, který je již mnoho let poměrně diskutovaným tématem jak na úrovni národní, tak na úrovni nadnárodní.</w:t>
      </w:r>
    </w:p>
    <w:p w:rsidR="00915672" w:rsidRPr="00717C85" w:rsidRDefault="00915672" w:rsidP="0091567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</w:rPr>
        <w:t> </w:t>
      </w:r>
    </w:p>
    <w:p w:rsidR="00915672" w:rsidRPr="00717C85" w:rsidRDefault="00915672" w:rsidP="0091567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</w:rPr>
        <w:t>Směrnice ve svém článku 2 stanovuje následující minimální oblasti své věcné působnosti (tj. oblasti, ve kterých se uplatní ochrana osob oznamujících porušení práva Unie dle této směrnice):</w:t>
      </w:r>
    </w:p>
    <w:p w:rsidR="00915672" w:rsidRPr="00717C85" w:rsidRDefault="00915672" w:rsidP="00915672">
      <w:pPr>
        <w:pStyle w:val="xmsolistparagraph"/>
        <w:shd w:val="clear" w:color="auto" w:fill="FFFFFF"/>
        <w:spacing w:before="0" w:beforeAutospacing="0" w:after="0" w:afterAutospacing="0" w:line="212" w:lineRule="atLeast"/>
        <w:ind w:left="720" w:hanging="36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a)    </w:t>
      </w:r>
      <w:r w:rsidRPr="00717C85">
        <w:rPr>
          <w:rFonts w:asciiTheme="minorHAnsi" w:hAnsiTheme="minorHAnsi" w:cstheme="minorHAnsi"/>
          <w:color w:val="201F1E"/>
          <w:sz w:val="22"/>
          <w:szCs w:val="22"/>
        </w:rPr>
        <w:t>porušení spadající do oblasti působnosti aktů Unie uvedených v příloze, která se týkají těchto oblastí:</w:t>
      </w:r>
    </w:p>
    <w:p w:rsidR="00915672" w:rsidRPr="00717C85" w:rsidRDefault="00915672" w:rsidP="00915672">
      <w:pPr>
        <w:pStyle w:val="xmsolistparagraph"/>
        <w:shd w:val="clear" w:color="auto" w:fill="FFFFFF"/>
        <w:spacing w:before="0" w:beforeAutospacing="0" w:after="0" w:afterAutospacing="0" w:line="212" w:lineRule="atLeast"/>
        <w:ind w:left="1428" w:hanging="36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i)      </w:t>
      </w:r>
      <w:r w:rsidRPr="00717C85">
        <w:rPr>
          <w:rFonts w:asciiTheme="minorHAnsi" w:hAnsiTheme="minorHAnsi" w:cstheme="minorHAnsi"/>
          <w:color w:val="201F1E"/>
          <w:sz w:val="22"/>
          <w:szCs w:val="22"/>
        </w:rPr>
        <w:t>zadávání veřejných zakázek;</w:t>
      </w:r>
    </w:p>
    <w:p w:rsidR="00915672" w:rsidRPr="00717C85" w:rsidRDefault="00915672" w:rsidP="00915672">
      <w:pPr>
        <w:pStyle w:val="xmsolistparagraph"/>
        <w:shd w:val="clear" w:color="auto" w:fill="FFFFFF"/>
        <w:spacing w:before="0" w:beforeAutospacing="0" w:after="0" w:afterAutospacing="0" w:line="212" w:lineRule="atLeast"/>
        <w:ind w:left="1428" w:hanging="36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proofErr w:type="spellStart"/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ii</w:t>
      </w:r>
      <w:proofErr w:type="spellEnd"/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)     </w:t>
      </w:r>
      <w:r w:rsidRPr="00717C85">
        <w:rPr>
          <w:rFonts w:asciiTheme="minorHAnsi" w:hAnsiTheme="minorHAnsi" w:cstheme="minorHAnsi"/>
          <w:color w:val="201F1E"/>
          <w:sz w:val="22"/>
          <w:szCs w:val="22"/>
        </w:rPr>
        <w:t>finanční služby, produkty a trhy a předcházení praní peněz a financování terorismu;</w:t>
      </w:r>
    </w:p>
    <w:p w:rsidR="00915672" w:rsidRPr="00717C85" w:rsidRDefault="00915672" w:rsidP="00915672">
      <w:pPr>
        <w:pStyle w:val="xmsolistparagraph"/>
        <w:shd w:val="clear" w:color="auto" w:fill="FFFFFF"/>
        <w:spacing w:before="0" w:beforeAutospacing="0" w:after="0" w:afterAutospacing="0" w:line="212" w:lineRule="atLeast"/>
        <w:ind w:left="1428" w:hanging="36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proofErr w:type="spellStart"/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iii</w:t>
      </w:r>
      <w:proofErr w:type="spellEnd"/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)    </w:t>
      </w:r>
      <w:r w:rsidRPr="00717C85">
        <w:rPr>
          <w:rFonts w:asciiTheme="minorHAnsi" w:hAnsiTheme="minorHAnsi" w:cstheme="minorHAnsi"/>
          <w:color w:val="201F1E"/>
          <w:sz w:val="22"/>
          <w:szCs w:val="22"/>
        </w:rPr>
        <w:t>bezpečnost a soulad výrobků s předpisy;</w:t>
      </w:r>
    </w:p>
    <w:p w:rsidR="00915672" w:rsidRPr="00717C85" w:rsidRDefault="00915672" w:rsidP="00915672">
      <w:pPr>
        <w:pStyle w:val="xmsolistparagraph"/>
        <w:shd w:val="clear" w:color="auto" w:fill="FFFFFF"/>
        <w:spacing w:before="0" w:beforeAutospacing="0" w:after="0" w:afterAutospacing="0" w:line="212" w:lineRule="atLeast"/>
        <w:ind w:left="1428" w:hanging="36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proofErr w:type="spellStart"/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iv</w:t>
      </w:r>
      <w:proofErr w:type="spellEnd"/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)    </w:t>
      </w:r>
      <w:r w:rsidRPr="00717C85">
        <w:rPr>
          <w:rFonts w:asciiTheme="minorHAnsi" w:hAnsiTheme="minorHAnsi" w:cstheme="minorHAnsi"/>
          <w:color w:val="201F1E"/>
          <w:sz w:val="22"/>
          <w:szCs w:val="22"/>
        </w:rPr>
        <w:t>bezpečnost dopravy;</w:t>
      </w:r>
    </w:p>
    <w:p w:rsidR="00915672" w:rsidRPr="00717C85" w:rsidRDefault="00915672" w:rsidP="00915672">
      <w:pPr>
        <w:pStyle w:val="xmsolistparagraph"/>
        <w:shd w:val="clear" w:color="auto" w:fill="FFFFFF"/>
        <w:spacing w:before="0" w:beforeAutospacing="0" w:after="0" w:afterAutospacing="0" w:line="212" w:lineRule="atLeast"/>
        <w:ind w:left="1428" w:hanging="36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v)     </w:t>
      </w:r>
      <w:r w:rsidRPr="00717C85">
        <w:rPr>
          <w:rFonts w:asciiTheme="minorHAnsi" w:hAnsiTheme="minorHAnsi" w:cstheme="minorHAnsi"/>
          <w:color w:val="201F1E"/>
          <w:sz w:val="22"/>
          <w:szCs w:val="22"/>
        </w:rPr>
        <w:t>ochrana životního prostředí;</w:t>
      </w:r>
    </w:p>
    <w:p w:rsidR="00915672" w:rsidRPr="00717C85" w:rsidRDefault="00915672" w:rsidP="00915672">
      <w:pPr>
        <w:pStyle w:val="xmsolistparagraph"/>
        <w:shd w:val="clear" w:color="auto" w:fill="FFFFFF"/>
        <w:spacing w:before="0" w:beforeAutospacing="0" w:after="0" w:afterAutospacing="0" w:line="212" w:lineRule="atLeast"/>
        <w:ind w:left="1428" w:hanging="36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proofErr w:type="spellStart"/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vi</w:t>
      </w:r>
      <w:proofErr w:type="spellEnd"/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)    </w:t>
      </w:r>
      <w:r w:rsidRPr="00717C85">
        <w:rPr>
          <w:rFonts w:asciiTheme="minorHAnsi" w:hAnsiTheme="minorHAnsi" w:cstheme="minorHAnsi"/>
          <w:color w:val="201F1E"/>
          <w:sz w:val="22"/>
          <w:szCs w:val="22"/>
        </w:rPr>
        <w:t>radiační ochrana a jaderná bezpečnost;</w:t>
      </w:r>
    </w:p>
    <w:p w:rsidR="00915672" w:rsidRPr="00717C85" w:rsidRDefault="00915672" w:rsidP="00915672">
      <w:pPr>
        <w:pStyle w:val="xmsolistparagraph"/>
        <w:shd w:val="clear" w:color="auto" w:fill="FFFFFF"/>
        <w:spacing w:before="0" w:beforeAutospacing="0" w:after="0" w:afterAutospacing="0" w:line="212" w:lineRule="atLeast"/>
        <w:ind w:left="1428" w:hanging="36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proofErr w:type="spellStart"/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vii</w:t>
      </w:r>
      <w:proofErr w:type="spellEnd"/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)   </w:t>
      </w:r>
      <w:r w:rsidRPr="00717C85">
        <w:rPr>
          <w:rFonts w:asciiTheme="minorHAnsi" w:hAnsiTheme="minorHAnsi" w:cstheme="minorHAnsi"/>
          <w:color w:val="201F1E"/>
          <w:sz w:val="22"/>
          <w:szCs w:val="22"/>
        </w:rPr>
        <w:t>bezpečnost potravin a krmiv, zdraví a dobré životní podmínky zvířat;</w:t>
      </w:r>
    </w:p>
    <w:p w:rsidR="00915672" w:rsidRPr="00717C85" w:rsidRDefault="00915672" w:rsidP="00915672">
      <w:pPr>
        <w:pStyle w:val="xmsolistparagraph"/>
        <w:shd w:val="clear" w:color="auto" w:fill="FFFFFF"/>
        <w:spacing w:before="0" w:beforeAutospacing="0" w:after="0" w:afterAutospacing="0" w:line="212" w:lineRule="atLeast"/>
        <w:ind w:left="1428" w:hanging="36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proofErr w:type="spellStart"/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viii</w:t>
      </w:r>
      <w:proofErr w:type="spellEnd"/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)  </w:t>
      </w:r>
      <w:r w:rsidRPr="00717C85">
        <w:rPr>
          <w:rFonts w:asciiTheme="minorHAnsi" w:hAnsiTheme="minorHAnsi" w:cstheme="minorHAnsi"/>
          <w:color w:val="201F1E"/>
          <w:sz w:val="22"/>
          <w:szCs w:val="22"/>
        </w:rPr>
        <w:t>veřejné zdraví;</w:t>
      </w:r>
    </w:p>
    <w:p w:rsidR="00915672" w:rsidRPr="00717C85" w:rsidRDefault="00915672" w:rsidP="00915672">
      <w:pPr>
        <w:pStyle w:val="xmsolistparagraph"/>
        <w:shd w:val="clear" w:color="auto" w:fill="FFFFFF"/>
        <w:spacing w:before="0" w:beforeAutospacing="0" w:after="0" w:afterAutospacing="0" w:line="212" w:lineRule="atLeast"/>
        <w:ind w:left="1428" w:hanging="36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proofErr w:type="spellStart"/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ix</w:t>
      </w:r>
      <w:proofErr w:type="spellEnd"/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)    </w:t>
      </w:r>
      <w:r w:rsidRPr="00717C85">
        <w:rPr>
          <w:rFonts w:asciiTheme="minorHAnsi" w:hAnsiTheme="minorHAnsi" w:cstheme="minorHAnsi"/>
          <w:color w:val="201F1E"/>
          <w:sz w:val="22"/>
          <w:szCs w:val="22"/>
        </w:rPr>
        <w:t>ochrana spotřebitele;</w:t>
      </w:r>
    </w:p>
    <w:p w:rsidR="00915672" w:rsidRPr="00717C85" w:rsidRDefault="00915672" w:rsidP="00915672">
      <w:pPr>
        <w:pStyle w:val="xmsolistparagraph"/>
        <w:shd w:val="clear" w:color="auto" w:fill="FFFFFF"/>
        <w:spacing w:before="0" w:beforeAutospacing="0" w:after="0" w:afterAutospacing="0" w:line="212" w:lineRule="atLeast"/>
        <w:ind w:left="1428" w:hanging="36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x)     </w:t>
      </w:r>
      <w:r w:rsidRPr="00717C85">
        <w:rPr>
          <w:rFonts w:asciiTheme="minorHAnsi" w:hAnsiTheme="minorHAnsi" w:cstheme="minorHAnsi"/>
          <w:color w:val="201F1E"/>
          <w:sz w:val="22"/>
          <w:szCs w:val="22"/>
        </w:rPr>
        <w:t>ochrana soukromí a osobních údajů a bezpečnost sítí a informačních systémů;</w:t>
      </w:r>
    </w:p>
    <w:p w:rsidR="00915672" w:rsidRPr="00717C85" w:rsidRDefault="00915672" w:rsidP="00915672">
      <w:pPr>
        <w:pStyle w:val="xmsolistparagraph"/>
        <w:shd w:val="clear" w:color="auto" w:fill="FFFFFF"/>
        <w:spacing w:before="0" w:beforeAutospacing="0" w:after="0" w:afterAutospacing="0" w:line="212" w:lineRule="atLeast"/>
        <w:ind w:left="720" w:hanging="36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b)    </w:t>
      </w:r>
      <w:r w:rsidRPr="00717C85">
        <w:rPr>
          <w:rFonts w:asciiTheme="minorHAnsi" w:hAnsiTheme="minorHAnsi" w:cstheme="minorHAnsi"/>
          <w:color w:val="201F1E"/>
          <w:sz w:val="22"/>
          <w:szCs w:val="22"/>
        </w:rPr>
        <w:t>porušení ohrožující finanční zájmy Unie podle článku 325 Smlouvy o fungování EU a blíže upřesněná v příslušných opatřeních Unie;</w:t>
      </w:r>
    </w:p>
    <w:p w:rsidR="00915672" w:rsidRPr="00717C85" w:rsidRDefault="00915672" w:rsidP="00915672">
      <w:pPr>
        <w:pStyle w:val="xmsolistparagraph"/>
        <w:shd w:val="clear" w:color="auto" w:fill="FFFFFF"/>
        <w:spacing w:before="0" w:beforeAutospacing="0" w:after="0" w:afterAutospacing="0" w:line="212" w:lineRule="atLeast"/>
        <w:ind w:left="720" w:hanging="36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c)     </w:t>
      </w:r>
      <w:r w:rsidRPr="00717C85">
        <w:rPr>
          <w:rFonts w:asciiTheme="minorHAnsi" w:hAnsiTheme="minorHAnsi" w:cstheme="minorHAnsi"/>
          <w:color w:val="201F1E"/>
          <w:sz w:val="22"/>
          <w:szCs w:val="22"/>
        </w:rPr>
        <w:t>porušení týkající se vnitřního trhu podle čl. 26 odst. 2 Smlouvy o fungování EU, včetně porušení unijních pravidel hospodářské soutěže a státní podpory, jakož i porušení týkající se vnitřního trhu v souvislosti s jednáními, která porušují pravidla týkající se daně z příjmů právnických osob, nebo s mechanismy, jejichž účelem je získání daňové výhody, která maří předmět nebo účel příslušného práva v oblasti daně z příjmů právnických osob.</w:t>
      </w:r>
    </w:p>
    <w:p w:rsidR="00915672" w:rsidRPr="00717C85" w:rsidRDefault="00915672" w:rsidP="0091567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</w:rPr>
        <w:t>Směrnice dále upravuje osobní působnost, tj. které skupiny oznamovatelů mohou oznámení provést.</w:t>
      </w:r>
    </w:p>
    <w:p w:rsidR="00915672" w:rsidRPr="00717C85" w:rsidRDefault="00915672" w:rsidP="00915672">
      <w:pPr>
        <w:pStyle w:val="xmsolistparagraph"/>
        <w:shd w:val="clear" w:color="auto" w:fill="FFFFFF"/>
        <w:spacing w:before="0" w:beforeAutospacing="0" w:after="0" w:afterAutospacing="0" w:line="212" w:lineRule="atLeast"/>
        <w:ind w:left="720" w:hanging="36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1.     </w:t>
      </w:r>
      <w:r w:rsidRPr="00717C85">
        <w:rPr>
          <w:rFonts w:asciiTheme="minorHAnsi" w:hAnsiTheme="minorHAnsi" w:cstheme="minorHAnsi"/>
          <w:color w:val="201F1E"/>
          <w:sz w:val="22"/>
          <w:szCs w:val="22"/>
        </w:rPr>
        <w:t>Jedná se o oznamující osoby pracující v soukromém nebo veřejném sektoru, které získaly informace o porušení v pracovním kontextu, alespoň v rozsahu:</w:t>
      </w:r>
    </w:p>
    <w:p w:rsidR="00915672" w:rsidRPr="00717C85" w:rsidRDefault="00915672" w:rsidP="00915672">
      <w:pPr>
        <w:pStyle w:val="xmsolistparagraph"/>
        <w:shd w:val="clear" w:color="auto" w:fill="FFFFFF"/>
        <w:spacing w:before="0" w:beforeAutospacing="0" w:after="0" w:afterAutospacing="0" w:line="212" w:lineRule="atLeast"/>
        <w:ind w:left="1068" w:hanging="36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a)    </w:t>
      </w:r>
      <w:r w:rsidRPr="00717C85">
        <w:rPr>
          <w:rFonts w:asciiTheme="minorHAnsi" w:hAnsiTheme="minorHAnsi" w:cstheme="minorHAnsi"/>
          <w:color w:val="201F1E"/>
          <w:sz w:val="22"/>
          <w:szCs w:val="22"/>
        </w:rPr>
        <w:t>osob, které mají status pracovníka ve smyslu čl. 45 odst. 1 Smlouvy o fungování EU, včetně státních zaměstnanců;</w:t>
      </w:r>
    </w:p>
    <w:p w:rsidR="00915672" w:rsidRPr="00717C85" w:rsidRDefault="00915672" w:rsidP="00915672">
      <w:pPr>
        <w:pStyle w:val="xmsolistparagraph"/>
        <w:shd w:val="clear" w:color="auto" w:fill="FFFFFF"/>
        <w:spacing w:before="0" w:beforeAutospacing="0" w:after="0" w:afterAutospacing="0" w:line="212" w:lineRule="atLeast"/>
        <w:ind w:left="1068" w:hanging="36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b)    </w:t>
      </w:r>
      <w:r w:rsidRPr="00717C85">
        <w:rPr>
          <w:rFonts w:asciiTheme="minorHAnsi" w:hAnsiTheme="minorHAnsi" w:cstheme="minorHAnsi"/>
          <w:color w:val="201F1E"/>
          <w:sz w:val="22"/>
          <w:szCs w:val="22"/>
        </w:rPr>
        <w:t>osob, které mají status osob samostatně výdělečně činných ve smyslu článku 49 Smlouvy o fungování EU;</w:t>
      </w:r>
    </w:p>
    <w:p w:rsidR="00915672" w:rsidRPr="00717C85" w:rsidRDefault="00915672" w:rsidP="00915672">
      <w:pPr>
        <w:pStyle w:val="xmsolistparagraph"/>
        <w:shd w:val="clear" w:color="auto" w:fill="FFFFFF"/>
        <w:spacing w:before="0" w:beforeAutospacing="0" w:after="0" w:afterAutospacing="0" w:line="212" w:lineRule="atLeast"/>
        <w:ind w:left="1068" w:hanging="36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c)     </w:t>
      </w:r>
      <w:r w:rsidRPr="00717C85">
        <w:rPr>
          <w:rFonts w:asciiTheme="minorHAnsi" w:hAnsiTheme="minorHAnsi" w:cstheme="minorHAnsi"/>
          <w:color w:val="201F1E"/>
          <w:sz w:val="22"/>
          <w:szCs w:val="22"/>
        </w:rPr>
        <w:t>akcionářů a osob náležejících do správního, řídicího nebo dohledového orgánu podniku, včetně nevýkonných členů, jakož i dobrovolníků a placených či neplacených stážistů;</w:t>
      </w:r>
    </w:p>
    <w:p w:rsidR="00915672" w:rsidRPr="00717C85" w:rsidRDefault="00915672" w:rsidP="00915672">
      <w:pPr>
        <w:pStyle w:val="xmsolistparagraph"/>
        <w:shd w:val="clear" w:color="auto" w:fill="FFFFFF"/>
        <w:spacing w:before="0" w:beforeAutospacing="0" w:after="0" w:afterAutospacing="0" w:line="212" w:lineRule="atLeast"/>
        <w:ind w:left="1068" w:hanging="36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d)    </w:t>
      </w:r>
      <w:r w:rsidRPr="00717C85">
        <w:rPr>
          <w:rFonts w:asciiTheme="minorHAnsi" w:hAnsiTheme="minorHAnsi" w:cstheme="minorHAnsi"/>
          <w:color w:val="201F1E"/>
          <w:sz w:val="22"/>
          <w:szCs w:val="22"/>
        </w:rPr>
        <w:t>veškerých osob, které pracují pod dohledem a podle pokynů zhotovitelů, subdodavatelů a dodavatelů.</w:t>
      </w:r>
    </w:p>
    <w:p w:rsidR="00915672" w:rsidRPr="00717C85" w:rsidRDefault="00915672" w:rsidP="00915672">
      <w:pPr>
        <w:pStyle w:val="xmsolistparagraph"/>
        <w:shd w:val="clear" w:color="auto" w:fill="FFFFFF"/>
        <w:spacing w:before="0" w:beforeAutospacing="0" w:after="0" w:afterAutospacing="0" w:line="212" w:lineRule="atLeast"/>
        <w:ind w:left="720" w:hanging="36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2.     </w:t>
      </w:r>
      <w:r w:rsidRPr="00717C85">
        <w:rPr>
          <w:rFonts w:asciiTheme="minorHAnsi" w:hAnsiTheme="minorHAnsi" w:cstheme="minorHAnsi"/>
          <w:color w:val="201F1E"/>
          <w:sz w:val="22"/>
          <w:szCs w:val="22"/>
        </w:rPr>
        <w:t>Směrnice se vztahuje i na oznamující osoby, které oznamují nebo zveřejňují informace o porušení získané v rámci pracovního poměru, který mezitím skončil.</w:t>
      </w:r>
    </w:p>
    <w:p w:rsidR="00915672" w:rsidRPr="00717C85" w:rsidRDefault="00915672" w:rsidP="00915672">
      <w:pPr>
        <w:pStyle w:val="xmsolistparagraph"/>
        <w:shd w:val="clear" w:color="auto" w:fill="FFFFFF"/>
        <w:spacing w:before="0" w:beforeAutospacing="0" w:after="0" w:afterAutospacing="0" w:line="212" w:lineRule="atLeast"/>
        <w:ind w:left="720" w:hanging="36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3.     </w:t>
      </w:r>
      <w:r w:rsidRPr="00717C85">
        <w:rPr>
          <w:rFonts w:asciiTheme="minorHAnsi" w:hAnsiTheme="minorHAnsi" w:cstheme="minorHAnsi"/>
          <w:color w:val="201F1E"/>
          <w:sz w:val="22"/>
          <w:szCs w:val="22"/>
        </w:rPr>
        <w:t>Směrnice se vztahuje rovněž na oznamující osoby, jejichž pracovní poměr má teprve začít, jestliže byly informace o porušení získány během přijímacího řízení či jiných předsmluvních jednání.</w:t>
      </w:r>
    </w:p>
    <w:p w:rsidR="00915672" w:rsidRPr="00717C85" w:rsidRDefault="00915672" w:rsidP="00915672">
      <w:pPr>
        <w:pStyle w:val="xmsolistparagraph"/>
        <w:shd w:val="clear" w:color="auto" w:fill="FFFFFF"/>
        <w:spacing w:before="0" w:beforeAutospacing="0" w:after="0" w:afterAutospacing="0" w:line="212" w:lineRule="atLeast"/>
        <w:ind w:left="720" w:hanging="36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lastRenderedPageBreak/>
        <w:t>4.     </w:t>
      </w:r>
      <w:r w:rsidRPr="00717C85">
        <w:rPr>
          <w:rFonts w:asciiTheme="minorHAnsi" w:hAnsiTheme="minorHAnsi" w:cstheme="minorHAnsi"/>
          <w:color w:val="201F1E"/>
          <w:sz w:val="22"/>
          <w:szCs w:val="22"/>
        </w:rPr>
        <w:t xml:space="preserve">Opatření na ochranu oznamujících osob uvedená v kapitole VI (zákaz odvetných opatření) se případně vztahují i </w:t>
      </w:r>
      <w:proofErr w:type="gramStart"/>
      <w:r w:rsidRPr="00717C85">
        <w:rPr>
          <w:rFonts w:asciiTheme="minorHAnsi" w:hAnsiTheme="minorHAnsi" w:cstheme="minorHAnsi"/>
          <w:color w:val="201F1E"/>
          <w:sz w:val="22"/>
          <w:szCs w:val="22"/>
        </w:rPr>
        <w:t>na</w:t>
      </w:r>
      <w:proofErr w:type="gramEnd"/>
      <w:r w:rsidRPr="00717C85">
        <w:rPr>
          <w:rFonts w:asciiTheme="minorHAnsi" w:hAnsiTheme="minorHAnsi" w:cstheme="minorHAnsi"/>
          <w:color w:val="201F1E"/>
          <w:sz w:val="22"/>
          <w:szCs w:val="22"/>
        </w:rPr>
        <w:t>:</w:t>
      </w:r>
    </w:p>
    <w:p w:rsidR="00915672" w:rsidRPr="00717C85" w:rsidRDefault="00915672" w:rsidP="00915672">
      <w:pPr>
        <w:pStyle w:val="xmsolistparagraph"/>
        <w:shd w:val="clear" w:color="auto" w:fill="FFFFFF"/>
        <w:spacing w:before="0" w:beforeAutospacing="0" w:after="0" w:afterAutospacing="0" w:line="212" w:lineRule="atLeast"/>
        <w:ind w:left="1440" w:hanging="36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a)    </w:t>
      </w:r>
      <w:r w:rsidRPr="00717C85">
        <w:rPr>
          <w:rFonts w:asciiTheme="minorHAnsi" w:hAnsiTheme="minorHAnsi" w:cstheme="minorHAnsi"/>
          <w:color w:val="201F1E"/>
          <w:sz w:val="22"/>
          <w:szCs w:val="22"/>
        </w:rPr>
        <w:t>prostředníky;</w:t>
      </w:r>
    </w:p>
    <w:p w:rsidR="00915672" w:rsidRPr="00717C85" w:rsidRDefault="00915672" w:rsidP="00915672">
      <w:pPr>
        <w:pStyle w:val="xmsolistparagraph"/>
        <w:shd w:val="clear" w:color="auto" w:fill="FFFFFF"/>
        <w:spacing w:before="0" w:beforeAutospacing="0" w:after="0" w:afterAutospacing="0" w:line="212" w:lineRule="atLeast"/>
        <w:ind w:left="1440" w:hanging="36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b)    </w:t>
      </w:r>
      <w:r w:rsidRPr="00717C85">
        <w:rPr>
          <w:rFonts w:asciiTheme="minorHAnsi" w:hAnsiTheme="minorHAnsi" w:cstheme="minorHAnsi"/>
          <w:color w:val="201F1E"/>
          <w:sz w:val="22"/>
          <w:szCs w:val="22"/>
        </w:rPr>
        <w:t>třetí osoby spojené s oznamujícími osobami, jež by mohly být postiženy odvetnými opatřeními v pracovním kontextu, jako jsou kolegové nebo příbuzní oznamující osoby;</w:t>
      </w:r>
    </w:p>
    <w:p w:rsidR="00915672" w:rsidRPr="00717C85" w:rsidRDefault="00915672" w:rsidP="00915672">
      <w:pPr>
        <w:pStyle w:val="xmsolistparagraph"/>
        <w:shd w:val="clear" w:color="auto" w:fill="FFFFFF"/>
        <w:spacing w:before="0" w:beforeAutospacing="0" w:after="0" w:afterAutospacing="0" w:line="212" w:lineRule="atLeast"/>
        <w:ind w:left="1440" w:hanging="360"/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c)     </w:t>
      </w:r>
      <w:r w:rsidRPr="00717C85">
        <w:rPr>
          <w:rFonts w:asciiTheme="minorHAnsi" w:hAnsiTheme="minorHAnsi" w:cstheme="minorHAnsi"/>
          <w:color w:val="201F1E"/>
          <w:sz w:val="22"/>
          <w:szCs w:val="22"/>
        </w:rPr>
        <w:t>právní subjekty, jež oznamující osoby vlastní, pro něž pracují nebo jsou s nimi jinak spojeny v pracovním kontextu.</w:t>
      </w:r>
    </w:p>
    <w:p w:rsidR="00915672" w:rsidRPr="00717C85" w:rsidRDefault="00915672" w:rsidP="0091567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</w:rPr>
        <w:t>Směrnice upravuje také povinnost zavést interní oznamovací kanály (článek 8). Tato povinnost dopadne i na UP.</w:t>
      </w:r>
    </w:p>
    <w:p w:rsidR="00915672" w:rsidRPr="00717C85" w:rsidRDefault="00915672" w:rsidP="0091567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</w:rPr>
        <w:t>Kapitola VI se věnuje ochranným opatřením, článek 19 pak zákazu odvetných opatření. Do odvetných opatření jsou mimo jiné dle směrnice zařazena i následující jednání:</w:t>
      </w:r>
    </w:p>
    <w:p w:rsidR="00915672" w:rsidRPr="00717C85" w:rsidRDefault="00915672" w:rsidP="00915672">
      <w:pPr>
        <w:pStyle w:val="xmsonormal"/>
        <w:shd w:val="clear" w:color="auto" w:fill="FFFFFF"/>
        <w:spacing w:before="0" w:beforeAutospacing="0" w:after="0" w:afterAutospacing="0"/>
        <w:ind w:left="1560" w:hanging="426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</w:rPr>
        <w:t>i)       nepřevedení pracovní smlouvy na dobu určitou na pracovní smlouvu na dobu neurčitou v případě, kdy měl zaměstnanec legitimní očekávání, že mu bude nabídnut pracovní poměr na dobu neurčitou;</w:t>
      </w:r>
    </w:p>
    <w:p w:rsidR="00915672" w:rsidRPr="00717C85" w:rsidRDefault="00915672" w:rsidP="00915672">
      <w:pPr>
        <w:pStyle w:val="xmsonormal"/>
        <w:shd w:val="clear" w:color="auto" w:fill="FFFFFF"/>
        <w:spacing w:before="0" w:beforeAutospacing="0" w:after="0" w:afterAutospacing="0"/>
        <w:ind w:left="1560" w:hanging="426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</w:rPr>
        <w:t>j)      neobnovení nebo předčasné ukončení pracovní smlouvy na dobu určitou;</w:t>
      </w:r>
    </w:p>
    <w:p w:rsidR="00915672" w:rsidRPr="00717C85" w:rsidRDefault="00915672" w:rsidP="00915672">
      <w:pPr>
        <w:pStyle w:val="xmsonormal"/>
        <w:shd w:val="clear" w:color="auto" w:fill="FFFFFF"/>
        <w:spacing w:before="0" w:beforeAutospacing="0" w:after="0" w:afterAutospacing="0"/>
        <w:ind w:left="1560" w:hanging="426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</w:rPr>
        <w:t>o)     vyžadování psychiatrického nebo lékařského vyšetření.</w:t>
      </w:r>
    </w:p>
    <w:p w:rsidR="00915672" w:rsidRPr="00717C85" w:rsidRDefault="00915672" w:rsidP="0091567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</w:rPr>
        <w:t> </w:t>
      </w:r>
    </w:p>
    <w:p w:rsidR="00915672" w:rsidRPr="00717C85" w:rsidRDefault="00915672" w:rsidP="0091567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</w:rPr>
        <w:t>Vzhledem k tomu, že se v tomto případě jedná o směrnici, je nutné její obsah nejprve na národní úrovni transponovat do právního řádu České republiky. Článek 26 stanoví povinnost členským státům přizpůsobit právní pořádek této směrnici do 17. prosince 2021.</w:t>
      </w:r>
    </w:p>
    <w:p w:rsidR="00915672" w:rsidRPr="00717C85" w:rsidRDefault="00915672" w:rsidP="0091567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</w:rPr>
        <w:t>Zatím není vůbec jasná konkrétní podoba předpisu na národní úrovni a je třeba pamatovat na to, že směrnice stanoví pouze minimální pravidla, tedy národní legislativa může být v mnohém přísnější.</w:t>
      </w:r>
    </w:p>
    <w:p w:rsidR="00915672" w:rsidRPr="00717C85" w:rsidRDefault="00915672" w:rsidP="0091567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</w:rPr>
        <w:t> </w:t>
      </w:r>
    </w:p>
    <w:p w:rsidR="00915672" w:rsidRPr="00717C85" w:rsidRDefault="00915672" w:rsidP="0091567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</w:rPr>
        <w:t>Pro UP to bude znamenat povinnost přizpůsobit se národním předpisům, které budou transponovat směrnici.</w:t>
      </w:r>
    </w:p>
    <w:p w:rsidR="00915672" w:rsidRPr="00717C85" w:rsidRDefault="00915672" w:rsidP="0091567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</w:rPr>
        <w:t> </w:t>
      </w:r>
    </w:p>
    <w:p w:rsidR="00915672" w:rsidRPr="00717C85" w:rsidRDefault="00915672" w:rsidP="0091567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</w:rPr>
        <w:t>Zvažte prosím otevření diskuse o povinnostech, které budou pro UP vyplývat z této směrnice, na vedení UP.</w:t>
      </w:r>
    </w:p>
    <w:p w:rsidR="00915672" w:rsidRPr="00717C85" w:rsidRDefault="00915672" w:rsidP="00915672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17C85">
        <w:rPr>
          <w:rFonts w:asciiTheme="minorHAnsi" w:hAnsiTheme="minorHAnsi" w:cstheme="minorHAnsi"/>
          <w:color w:val="201F1E"/>
          <w:sz w:val="22"/>
          <w:szCs w:val="22"/>
        </w:rPr>
        <w:t>Pokud budete mít Vy nebo vedení zájem na tom začít danou problematiku implementovat do prostředí UP, dejte mi prosím vědět tak, abych mohla započít s přípravou.</w:t>
      </w:r>
    </w:p>
    <w:p w:rsidR="00B56B61" w:rsidRDefault="00B56B61"/>
    <w:sectPr w:rsidR="00B56B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08" w:rsidRDefault="000C6108" w:rsidP="00FD653E">
      <w:pPr>
        <w:spacing w:after="0" w:line="240" w:lineRule="auto"/>
      </w:pPr>
      <w:r>
        <w:separator/>
      </w:r>
    </w:p>
  </w:endnote>
  <w:endnote w:type="continuationSeparator" w:id="0">
    <w:p w:rsidR="000C6108" w:rsidRDefault="000C6108" w:rsidP="00FD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909181"/>
      <w:docPartObj>
        <w:docPartGallery w:val="Page Numbers (Bottom of Page)"/>
        <w:docPartUnique/>
      </w:docPartObj>
    </w:sdtPr>
    <w:sdtContent>
      <w:p w:rsidR="00FD653E" w:rsidRDefault="00FD65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D653E" w:rsidRDefault="00FD65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08" w:rsidRDefault="000C6108" w:rsidP="00FD653E">
      <w:pPr>
        <w:spacing w:after="0" w:line="240" w:lineRule="auto"/>
      </w:pPr>
      <w:r>
        <w:separator/>
      </w:r>
    </w:p>
  </w:footnote>
  <w:footnote w:type="continuationSeparator" w:id="0">
    <w:p w:rsidR="000C6108" w:rsidRDefault="000C6108" w:rsidP="00FD6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72"/>
    <w:rsid w:val="000C6108"/>
    <w:rsid w:val="00915672"/>
    <w:rsid w:val="00B56B61"/>
    <w:rsid w:val="00F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EAF3A-409F-4266-965F-9583A32B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5672"/>
    <w:pPr>
      <w:spacing w:after="160" w:line="259" w:lineRule="auto"/>
    </w:pPr>
    <w:rPr>
      <w:rFonts w:asciiTheme="minorHAnsi" w:hAnsiTheme="minorHAnsi"/>
      <w:sz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5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9156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72"/>
    <w:rPr>
      <w:rFonts w:asciiTheme="minorHAnsi" w:hAnsiTheme="minorHAnsi"/>
      <w:sz w:val="20"/>
      <w:szCs w:val="20"/>
    </w:rPr>
  </w:style>
  <w:style w:type="paragraph" w:customStyle="1" w:styleId="xmsonormal">
    <w:name w:val="x_msonormal"/>
    <w:basedOn w:val="Normln"/>
    <w:rsid w:val="0091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listparagraph">
    <w:name w:val="x_msolistparagraph"/>
    <w:basedOn w:val="Normln"/>
    <w:rsid w:val="0091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5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D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53E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D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53E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4235</Characters>
  <Application>Microsoft Office Word</Application>
  <DocSecurity>0</DocSecurity>
  <Lines>35</Lines>
  <Paragraphs>9</Paragraphs>
  <ScaleCrop>false</ScaleCrop>
  <Company>HP Inc.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Lach</dc:creator>
  <cp:keywords/>
  <dc:description/>
  <cp:lastModifiedBy>J. Lach</cp:lastModifiedBy>
  <cp:revision>2</cp:revision>
  <dcterms:created xsi:type="dcterms:W3CDTF">2020-11-18T21:33:00Z</dcterms:created>
  <dcterms:modified xsi:type="dcterms:W3CDTF">2020-11-18T21:51:00Z</dcterms:modified>
</cp:coreProperties>
</file>